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5ABB7" w14:textId="77777777" w:rsidR="00400D88" w:rsidRPr="00331FAF" w:rsidRDefault="0054796A" w:rsidP="00331FAF">
      <w:pPr>
        <w:jc w:val="center"/>
        <w:rPr>
          <w:b/>
          <w:sz w:val="52"/>
          <w:szCs w:val="52"/>
        </w:rPr>
      </w:pPr>
      <w:r w:rsidRPr="00331FAF">
        <w:rPr>
          <w:b/>
          <w:sz w:val="52"/>
          <w:szCs w:val="52"/>
        </w:rPr>
        <w:t xml:space="preserve">CHAPTER </w:t>
      </w:r>
      <w:r w:rsidR="00060931" w:rsidRPr="00331FAF">
        <w:rPr>
          <w:b/>
          <w:sz w:val="52"/>
          <w:szCs w:val="52"/>
        </w:rPr>
        <w:t>M</w:t>
      </w:r>
    </w:p>
    <w:p w14:paraId="28395164" w14:textId="77777777" w:rsidR="003779D5" w:rsidRDefault="003779D5">
      <w:pPr>
        <w:rPr>
          <w:u w:val="single"/>
        </w:rPr>
      </w:pPr>
    </w:p>
    <w:p w14:paraId="39F42EDD" w14:textId="77777777" w:rsidR="00060931" w:rsidRDefault="00060931">
      <w:r w:rsidRPr="00331FAF">
        <w:rPr>
          <w:sz w:val="44"/>
          <w:szCs w:val="44"/>
          <w:u w:val="single"/>
        </w:rPr>
        <w:t>Perimeter:</w:t>
      </w:r>
      <w:r>
        <w:t xml:space="preserve">  The distance around the outside of a figure with straight sides</w:t>
      </w:r>
      <w:r>
        <w:tab/>
      </w:r>
    </w:p>
    <w:p w14:paraId="67B69D57" w14:textId="77777777" w:rsidR="00060931" w:rsidRDefault="00060931">
      <w:r>
        <w:tab/>
        <w:t>To find the perimeter, sum</w:t>
      </w:r>
      <w:r w:rsidR="00331FAF">
        <w:t xml:space="preserve"> (add)</w:t>
      </w:r>
      <w:r>
        <w:t xml:space="preserve"> the measurement</w:t>
      </w:r>
      <w:r w:rsidR="00331FAF">
        <w:t>s</w:t>
      </w:r>
      <w:r>
        <w:t xml:space="preserve"> of each side</w:t>
      </w:r>
    </w:p>
    <w:p w14:paraId="63BEF044" w14:textId="77777777" w:rsidR="00060931" w:rsidRDefault="00060931"/>
    <w:p w14:paraId="2F143C7E" w14:textId="77777777" w:rsidR="00060931" w:rsidRDefault="00060931">
      <w:r w:rsidRPr="0081675E">
        <w:rPr>
          <w:sz w:val="44"/>
          <w:szCs w:val="44"/>
          <w:u w:val="single"/>
        </w:rPr>
        <w:t>Area:</w:t>
      </w:r>
      <w:r>
        <w:t xml:space="preserve"> </w:t>
      </w:r>
      <w:r w:rsidR="003779D5">
        <w:t xml:space="preserve"> </w:t>
      </w:r>
      <w:r>
        <w:t>Refers to the number of square units the figure covers. The area is the inside shape or space measured in square units.</w:t>
      </w:r>
      <w:r w:rsidR="003779D5">
        <w:t xml:space="preserve">  You need to remember to square your units of measurement.  </w:t>
      </w:r>
    </w:p>
    <w:p w14:paraId="366174CE" w14:textId="77777777" w:rsidR="00060931" w:rsidRDefault="00060931"/>
    <w:p w14:paraId="53CAE42B" w14:textId="77777777" w:rsidR="003779D5" w:rsidRDefault="003779D5">
      <w:r w:rsidRPr="003779D5">
        <w:rPr>
          <w:i/>
        </w:rPr>
        <w:t>Quadrilateral:</w:t>
      </w:r>
      <w:r>
        <w:t xml:space="preserve"> a closed figure with 4 sides</w:t>
      </w:r>
      <w:r w:rsidR="00703440">
        <w:t xml:space="preserve">                       (</w:t>
      </w:r>
      <m:oMath>
        <m:r>
          <w:rPr>
            <w:rFonts w:ascii="Cambria Math" w:hAnsi="Cambria Math"/>
          </w:rPr>
          <m:t>A = bh</m:t>
        </m:r>
      </m:oMath>
      <w:r w:rsidR="00703440">
        <w:t>)</w:t>
      </w:r>
    </w:p>
    <w:p w14:paraId="29A01D97" w14:textId="77777777" w:rsidR="00F910E7" w:rsidRDefault="00F910E7">
      <w:pPr>
        <w:rPr>
          <w:i/>
        </w:rPr>
      </w:pPr>
    </w:p>
    <w:p w14:paraId="7E9BE6C5" w14:textId="77777777" w:rsidR="003779D5" w:rsidRDefault="003779D5">
      <w:r w:rsidRPr="003779D5">
        <w:rPr>
          <w:i/>
        </w:rPr>
        <w:t>Parallelogram:</w:t>
      </w:r>
      <w:r>
        <w:t xml:space="preserve"> a quadrilateral whose opposite sides are parallel  </w:t>
      </w:r>
    </w:p>
    <w:p w14:paraId="3DF10742" w14:textId="77777777" w:rsidR="003779D5" w:rsidRDefault="003779D5" w:rsidP="003779D5">
      <w:pPr>
        <w:ind w:left="2160" w:firstLine="720"/>
      </w:pPr>
      <w:r>
        <w:t xml:space="preserve">Area = base x height        </w:t>
      </w:r>
      <w:r w:rsidR="00BB3548">
        <w:t xml:space="preserve"> </w:t>
      </w:r>
      <w:r>
        <w:t xml:space="preserve"> (</w:t>
      </w:r>
      <m:oMath>
        <m:r>
          <w:rPr>
            <w:rFonts w:ascii="Cambria Math" w:hAnsi="Cambria Math"/>
          </w:rPr>
          <m:t>A = bh</m:t>
        </m:r>
      </m:oMath>
      <w:r>
        <w:t>)</w:t>
      </w:r>
    </w:p>
    <w:p w14:paraId="62B033D5" w14:textId="77777777" w:rsidR="008C06BD" w:rsidRDefault="008C06BD"/>
    <w:p w14:paraId="1CC16FD0" w14:textId="77777777" w:rsidR="003779D5" w:rsidRDefault="00F910E7">
      <w:r>
        <w:t xml:space="preserve">  * The height must be perpendicular to the base</w:t>
      </w:r>
      <w:r w:rsidR="00703440">
        <w:t xml:space="preserve">. It doesn’t have to be the length of one of the sides.  </w:t>
      </w:r>
    </w:p>
    <w:p w14:paraId="43EB3496" w14:textId="77777777" w:rsidR="00F910E7" w:rsidRDefault="00F910E7"/>
    <w:p w14:paraId="314D36E9" w14:textId="77777777" w:rsidR="003779D5" w:rsidRPr="003779D5" w:rsidRDefault="003779D5">
      <w:r w:rsidRPr="00BB3548">
        <w:rPr>
          <w:i/>
        </w:rPr>
        <w:t>Triangles:</w:t>
      </w:r>
      <w:r>
        <w:t xml:space="preserve">                      </w:t>
      </w:r>
      <w:r w:rsidR="00BB3548">
        <w:t xml:space="preserve">     </w:t>
      </w:r>
      <w:r>
        <w:t xml:space="preserve">   </w:t>
      </w:r>
      <m:oMath>
        <m:r>
          <w:rPr>
            <w:rFonts w:ascii="Cambria Math" w:hAnsi="Cambria Math"/>
          </w:rPr>
          <m:t xml:space="preserve">Area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x Base x Height</m:t>
        </m:r>
      </m:oMath>
      <w:r>
        <w:t xml:space="preserve">    (</w:t>
      </w:r>
      <m:oMath>
        <m:r>
          <w:rPr>
            <w:rFonts w:ascii="Cambria Math" w:hAnsi="Cambria Math"/>
          </w:rPr>
          <m:t xml:space="preserve">A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bh</m:t>
        </m:r>
      </m:oMath>
      <w:r>
        <w:t>)</w:t>
      </w:r>
    </w:p>
    <w:p w14:paraId="7A404901" w14:textId="77777777" w:rsidR="003779D5" w:rsidRDefault="003779D5"/>
    <w:p w14:paraId="0F3DACB1" w14:textId="77777777" w:rsidR="00060931" w:rsidRDefault="00176B99">
      <w:r>
        <w:t>Diameter:  the distance through the center of the circle from one side to the other  (d)</w:t>
      </w:r>
    </w:p>
    <w:p w14:paraId="4C16C98F" w14:textId="77777777" w:rsidR="00176B99" w:rsidRDefault="00176B99">
      <w:r>
        <w:t xml:space="preserve">Radius: the distance from the center to one side of the circle  (r)  </w:t>
      </w:r>
    </w:p>
    <w:p w14:paraId="213F42D3" w14:textId="77777777" w:rsidR="00176B99" w:rsidRDefault="00176B99"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2 radius = diameter</m:t>
        </m:r>
      </m:oMath>
    </w:p>
    <w:p w14:paraId="12F36442" w14:textId="77777777" w:rsidR="00176B99" w:rsidRDefault="00176B99"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2r = d</m:t>
        </m:r>
      </m:oMath>
    </w:p>
    <w:p w14:paraId="1E59F605" w14:textId="77777777" w:rsidR="00176B99" w:rsidRPr="00E909E0" w:rsidRDefault="00E909E0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Pi (π)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circumference</m:t>
              </m:r>
            </m:num>
            <m:den>
              <m:r>
                <w:rPr>
                  <w:rFonts w:ascii="Cambria Math" w:hAnsi="Cambria Math"/>
                </w:rPr>
                <m:t>diameter</m:t>
              </m:r>
            </m:den>
          </m:f>
          <m:r>
            <w:rPr>
              <w:rFonts w:ascii="Cambria Math" w:hAnsi="Cambria Math"/>
            </w:rPr>
            <m:t xml:space="preserve"> ≈ 3.14  or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22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</m:oMath>
      </m:oMathPara>
    </w:p>
    <w:p w14:paraId="7C3FE093" w14:textId="77777777" w:rsidR="00176B99" w:rsidRDefault="00176B99"/>
    <w:p w14:paraId="39976189" w14:textId="77777777" w:rsidR="00703440" w:rsidRDefault="00176B99">
      <w:r w:rsidRPr="00703440">
        <w:rPr>
          <w:i/>
        </w:rPr>
        <w:t>Circumference:</w:t>
      </w:r>
      <w:r>
        <w:t xml:space="preserve">  The distance around the outside of a circle  </w:t>
      </w:r>
      <w:r w:rsidR="00703440">
        <w:t xml:space="preserve">   </w:t>
      </w:r>
      <w:r>
        <w:t xml:space="preserve"> </w:t>
      </w:r>
      <m:oMath>
        <m:r>
          <w:rPr>
            <w:rFonts w:ascii="Cambria Math" w:hAnsi="Cambria Math"/>
          </w:rPr>
          <m:t>C = 2πr   (2 x π x r)</m:t>
        </m:r>
      </m:oMath>
    </w:p>
    <w:p w14:paraId="7F85A19A" w14:textId="77777777" w:rsidR="00060931" w:rsidRDefault="00703440">
      <w:r w:rsidRPr="00703440">
        <w:rPr>
          <w:i/>
        </w:rPr>
        <w:t>Area of a circle</w:t>
      </w:r>
      <w:r>
        <w:rPr>
          <w:i/>
        </w:rPr>
        <w:t xml:space="preserve">: </w:t>
      </w:r>
      <w:r>
        <w:t xml:space="preserve"> </w:t>
      </w:r>
      <m:oMath>
        <m:r>
          <w:rPr>
            <w:rFonts w:ascii="Cambria Math" w:hAnsi="Cambria Math"/>
          </w:rPr>
          <m:t>A = 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495932C" w14:textId="77777777" w:rsidR="00703440" w:rsidRDefault="00703440"/>
    <w:p w14:paraId="393BCD23" w14:textId="77777777" w:rsidR="00703440" w:rsidRDefault="00703440">
      <w:r>
        <w:t xml:space="preserve">*In the </w:t>
      </w:r>
      <w:proofErr w:type="spellStart"/>
      <w:r>
        <w:t>ilearn</w:t>
      </w:r>
      <w:proofErr w:type="spellEnd"/>
      <w:r>
        <w:t xml:space="preserve"> program, if it give</w:t>
      </w:r>
      <w:r w:rsidR="0081675E">
        <w:t>s</w:t>
      </w:r>
      <w:r>
        <w:t xml:space="preserve"> you 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  <w:r>
        <w:t xml:space="preserve"> as a fraction, you must give your answer as a fraction.  If </w:t>
      </w:r>
      <w:proofErr w:type="spellStart"/>
      <w:r>
        <w:t>ilearn</w:t>
      </w:r>
      <w:proofErr w:type="spellEnd"/>
      <w:r>
        <w:t xml:space="preserve"> gives you </w:t>
      </w:r>
      <m:oMath>
        <m:r>
          <m:rPr>
            <m:sty m:val="p"/>
          </m:rPr>
          <w:rPr>
            <w:rFonts w:ascii="Cambria Math" w:hAnsi="Cambria Math"/>
          </w:rPr>
          <m:t>π</m:t>
        </m:r>
      </m:oMath>
      <w:r>
        <w:t xml:space="preserve"> as a decimal, your answer needs to be in decimal form.</w:t>
      </w:r>
    </w:p>
    <w:p w14:paraId="46397C80" w14:textId="77777777" w:rsidR="00703440" w:rsidRDefault="00703440"/>
    <w:p w14:paraId="266A0A9A" w14:textId="77777777" w:rsidR="0081675E" w:rsidRDefault="0081675E">
      <w:pPr>
        <w:rPr>
          <w:sz w:val="44"/>
          <w:szCs w:val="44"/>
          <w:u w:val="single"/>
        </w:rPr>
      </w:pPr>
    </w:p>
    <w:p w14:paraId="4D257017" w14:textId="77777777" w:rsidR="00703440" w:rsidRDefault="00587326">
      <w:r w:rsidRPr="0081675E">
        <w:rPr>
          <w:sz w:val="44"/>
          <w:szCs w:val="44"/>
          <w:u w:val="single"/>
        </w:rPr>
        <w:t>Volume:</w:t>
      </w:r>
      <w:r>
        <w:t xml:space="preserve">  the number of </w:t>
      </w:r>
      <w:proofErr w:type="gramStart"/>
      <w:r>
        <w:t>cubic  units</w:t>
      </w:r>
      <w:proofErr w:type="gramEnd"/>
      <w:r>
        <w:t xml:space="preserve"> in a 3- dimensional figure</w:t>
      </w:r>
    </w:p>
    <w:p w14:paraId="3049FA66" w14:textId="77777777" w:rsidR="00587326" w:rsidRDefault="00587326"/>
    <w:p w14:paraId="2117DEF1" w14:textId="77777777" w:rsidR="00173543" w:rsidRDefault="00173543">
      <w:r w:rsidRPr="0081675E">
        <w:rPr>
          <w:i/>
        </w:rPr>
        <w:t xml:space="preserve">Volume </w:t>
      </w:r>
      <w:r w:rsidR="000D00EC" w:rsidRPr="0081675E">
        <w:rPr>
          <w:i/>
        </w:rPr>
        <w:t>of a rectangular prism:</w:t>
      </w:r>
      <w:r w:rsidR="000D00EC">
        <w:t xml:space="preserve">  Volume = length x width x height    </w:t>
      </w:r>
      <m:oMath>
        <m:r>
          <w:rPr>
            <w:rFonts w:ascii="Cambria Math" w:hAnsi="Cambria Math"/>
          </w:rPr>
          <m:t>(V = lwh)</m:t>
        </m:r>
      </m:oMath>
    </w:p>
    <w:p w14:paraId="2BD08CC2" w14:textId="77777777" w:rsidR="000D00EC" w:rsidRPr="00703440" w:rsidRDefault="00587326">
      <w:r>
        <w:t>You need to remember to cube your units of measurement.</w:t>
      </w:r>
    </w:p>
    <w:p w14:paraId="7AB4B3B5" w14:textId="77777777" w:rsidR="00703440" w:rsidRDefault="00703440"/>
    <w:p w14:paraId="015F20AB" w14:textId="77777777" w:rsidR="00176B99" w:rsidRDefault="00587326">
      <w:r w:rsidRPr="0081675E">
        <w:rPr>
          <w:i/>
        </w:rPr>
        <w:t>Volume of Circular Cylinders:</w:t>
      </w:r>
      <w:r>
        <w:t xml:space="preserve">  </w:t>
      </w:r>
      <m:oMath>
        <m:r>
          <w:rPr>
            <w:rFonts w:ascii="Cambria Math" w:hAnsi="Cambria Math"/>
          </w:rPr>
          <m:t xml:space="preserve">Volume = area of the base (circle) x height </m:t>
        </m:r>
      </m:oMath>
      <w:r>
        <w:t xml:space="preserve">  (</w:t>
      </w:r>
      <m:oMath>
        <m:r>
          <w:rPr>
            <w:rFonts w:ascii="Cambria Math" w:hAnsi="Cambria Math"/>
          </w:rPr>
          <m:t>V = Bh</m:t>
        </m:r>
      </m:oMath>
      <w:r>
        <w:t>)</w:t>
      </w:r>
    </w:p>
    <w:p w14:paraId="3974E19D" w14:textId="77777777" w:rsidR="0029751A" w:rsidRDefault="0029751A"/>
    <w:p w14:paraId="5400254B" w14:textId="77777777" w:rsidR="0029751A" w:rsidRDefault="0029751A"/>
    <w:p w14:paraId="24A38AB6" w14:textId="77777777" w:rsidR="005B35EE" w:rsidRDefault="00B362A3" w:rsidP="005B35EE">
      <w:r w:rsidRPr="00B362A3">
        <w:rPr>
          <w:sz w:val="44"/>
          <w:szCs w:val="44"/>
          <w:u w:val="single"/>
        </w:rPr>
        <w:t>Pythagorean Theorem</w:t>
      </w:r>
      <w:proofErr w:type="gramStart"/>
      <w:r w:rsidRPr="00B362A3">
        <w:rPr>
          <w:sz w:val="44"/>
          <w:szCs w:val="44"/>
          <w:u w:val="single"/>
        </w:rPr>
        <w:t>:</w:t>
      </w:r>
      <w:r w:rsidR="005B35EE">
        <w:rPr>
          <w:sz w:val="44"/>
          <w:szCs w:val="44"/>
        </w:rPr>
        <w:t xml:space="preserve">       </w:t>
      </w:r>
      <w:proofErr w:type="gramEnd"/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a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2</m:t>
            </m:r>
          </m:sup>
        </m:sSup>
        <m:r>
          <w:rPr>
            <w:rFonts w:ascii="Cambria Math" w:hAnsi="Cambria Math"/>
            <w:sz w:val="44"/>
            <w:szCs w:val="44"/>
          </w:rPr>
          <m:t>+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b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2</m:t>
            </m:r>
          </m:sup>
        </m:sSup>
        <m:r>
          <w:rPr>
            <w:rFonts w:ascii="Cambria Math" w:hAnsi="Cambria Math"/>
            <w:sz w:val="44"/>
            <w:szCs w:val="44"/>
          </w:rPr>
          <m:t>=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c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2</m:t>
            </m:r>
          </m:sup>
        </m:sSup>
      </m:oMath>
      <w:r w:rsidR="005B35EE">
        <w:rPr>
          <w:sz w:val="44"/>
          <w:szCs w:val="44"/>
        </w:rPr>
        <w:t xml:space="preserve"> </w:t>
      </w:r>
      <w:bookmarkStart w:id="0" w:name="_GoBack"/>
      <w:bookmarkEnd w:id="0"/>
    </w:p>
    <w:p w14:paraId="310D2124" w14:textId="77777777" w:rsidR="00B362A3" w:rsidRDefault="00B362A3">
      <w:pPr>
        <w:rPr>
          <w:sz w:val="44"/>
          <w:szCs w:val="44"/>
          <w:u w:val="single"/>
        </w:rPr>
      </w:pPr>
    </w:p>
    <w:p w14:paraId="5FBD1E52" w14:textId="77777777" w:rsidR="00B362A3" w:rsidRDefault="00B362A3">
      <w:r w:rsidRPr="00B362A3">
        <w:rPr>
          <w:i/>
        </w:rPr>
        <w:t>Hypotenuse:</w:t>
      </w:r>
      <w:r>
        <w:t xml:space="preserve"> The longest side of a right tri</w:t>
      </w:r>
      <w:r w:rsidR="005B35EE">
        <w:t>angle, opposite the right angle</w:t>
      </w:r>
    </w:p>
    <w:p w14:paraId="75410B20" w14:textId="77777777" w:rsidR="005B35EE" w:rsidRDefault="005B35EE"/>
    <w:p w14:paraId="5B54B493" w14:textId="77777777" w:rsidR="005B35EE" w:rsidRDefault="005B35EE"/>
    <w:p w14:paraId="5BA03F3F" w14:textId="77777777" w:rsidR="0029751A" w:rsidRDefault="0029751A">
      <w:r>
        <w:t>Formula Reference Sheet</w:t>
      </w:r>
    </w:p>
    <w:p w14:paraId="2DA7378B" w14:textId="77777777" w:rsidR="0029751A" w:rsidRDefault="00E909E0">
      <w:hyperlink r:id="rId5" w:history="1">
        <w:r w:rsidR="0029751A" w:rsidRPr="003C7F51">
          <w:rPr>
            <w:rStyle w:val="Hyperlink"/>
          </w:rPr>
          <w:t>http://mdk12.org/share/pdf/hsa_math_reference_sheet_v2.pdf</w:t>
        </w:r>
      </w:hyperlink>
    </w:p>
    <w:p w14:paraId="030A994E" w14:textId="77777777" w:rsidR="0029751A" w:rsidRDefault="0029751A"/>
    <w:p w14:paraId="48A7F597" w14:textId="77777777" w:rsidR="008C06BD" w:rsidRDefault="008C06BD"/>
    <w:p w14:paraId="6E857ACC" w14:textId="77777777" w:rsidR="008C06BD" w:rsidRDefault="008C06BD">
      <w:r>
        <w:t>Need more help or more practice:</w:t>
      </w:r>
    </w:p>
    <w:p w14:paraId="11C4C5E5" w14:textId="77777777" w:rsidR="008C06BD" w:rsidRDefault="008C06BD"/>
    <w:p w14:paraId="44E89751" w14:textId="77777777" w:rsidR="008C06BD" w:rsidRDefault="008C06BD">
      <w:r>
        <w:t>Area and Perimeter:</w:t>
      </w:r>
    </w:p>
    <w:p w14:paraId="2A01CFF3" w14:textId="77777777" w:rsidR="008C06BD" w:rsidRDefault="00E909E0">
      <w:hyperlink r:id="rId6" w:history="1">
        <w:r w:rsidR="008C06BD" w:rsidRPr="003C7F51">
          <w:rPr>
            <w:rStyle w:val="Hyperlink"/>
          </w:rPr>
          <w:t>http://www.khanacademy.org/math/geometry/basic-geometry/v/area-and-perimeter</w:t>
        </w:r>
      </w:hyperlink>
    </w:p>
    <w:p w14:paraId="229368BB" w14:textId="77777777" w:rsidR="008C06BD" w:rsidRDefault="008C06BD"/>
    <w:p w14:paraId="0C25A468" w14:textId="77777777" w:rsidR="008C06BD" w:rsidRDefault="008C06BD">
      <w:r>
        <w:t>Area of a parallelogram</w:t>
      </w:r>
    </w:p>
    <w:p w14:paraId="1B20CE6C" w14:textId="77777777" w:rsidR="008C06BD" w:rsidRDefault="00E909E0">
      <w:hyperlink r:id="rId7" w:history="1">
        <w:r w:rsidR="008C06BD" w:rsidRPr="003C7F51">
          <w:rPr>
            <w:rStyle w:val="Hyperlink"/>
          </w:rPr>
          <w:t>http://www.khanacademy.org/math/geometry/polygons-quads-parallelograms/v/area-of-a-parallelogram</w:t>
        </w:r>
      </w:hyperlink>
    </w:p>
    <w:p w14:paraId="549BD841" w14:textId="77777777" w:rsidR="008C06BD" w:rsidRDefault="008C06BD"/>
    <w:p w14:paraId="79C41957" w14:textId="77777777" w:rsidR="008C06BD" w:rsidRDefault="008C06BD">
      <w:r>
        <w:t>Area of a circle</w:t>
      </w:r>
    </w:p>
    <w:p w14:paraId="730D15BD" w14:textId="77777777" w:rsidR="008C06BD" w:rsidRDefault="00E909E0">
      <w:hyperlink r:id="rId8" w:history="1">
        <w:r w:rsidR="008C06BD" w:rsidRPr="003C7F51">
          <w:rPr>
            <w:rStyle w:val="Hyperlink"/>
          </w:rPr>
          <w:t>http://www.khanacademy.org/math/geometry/basic-geometry/v/area-of-a-circle</w:t>
        </w:r>
      </w:hyperlink>
    </w:p>
    <w:p w14:paraId="5807ECAB" w14:textId="77777777" w:rsidR="008C06BD" w:rsidRDefault="008C06BD"/>
    <w:p w14:paraId="430F4373" w14:textId="77777777" w:rsidR="008C06BD" w:rsidRDefault="008C06BD">
      <w:r>
        <w:t>Volume</w:t>
      </w:r>
    </w:p>
    <w:p w14:paraId="3B9B58C3" w14:textId="77777777" w:rsidR="008C06BD" w:rsidRDefault="00E909E0">
      <w:hyperlink r:id="rId9" w:history="1">
        <w:r w:rsidR="008C06BD" w:rsidRPr="003C7F51">
          <w:rPr>
            <w:rStyle w:val="Hyperlink"/>
          </w:rPr>
          <w:t>http://www.khanacademy.org/math/geometry/basic-geometry/v/solid-geometry-volume</w:t>
        </w:r>
      </w:hyperlink>
    </w:p>
    <w:p w14:paraId="51A8FD57" w14:textId="77777777" w:rsidR="008C06BD" w:rsidRDefault="008C06BD"/>
    <w:p w14:paraId="5B0BDDE7" w14:textId="77777777" w:rsidR="00DD4878" w:rsidRPr="00DD4878" w:rsidRDefault="00DD4878" w:rsidP="00DD4878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4878">
        <w:rPr>
          <w:b/>
          <w:bCs/>
          <w:sz w:val="36"/>
          <w:szCs w:val="36"/>
        </w:rPr>
        <w:t xml:space="preserve">Pythagorean theorem </w:t>
      </w:r>
    </w:p>
    <w:p w14:paraId="714CC4F3" w14:textId="77777777" w:rsidR="00DD4878" w:rsidRDefault="00E909E0">
      <w:hyperlink r:id="rId10" w:history="1">
        <w:r w:rsidR="00DD4878" w:rsidRPr="003C7F51">
          <w:rPr>
            <w:rStyle w:val="Hyperlink"/>
          </w:rPr>
          <w:t>http://www.khanacademy.org/math/algebra/ck12-algebra-1/v/pythagorean-theorem</w:t>
        </w:r>
      </w:hyperlink>
    </w:p>
    <w:p w14:paraId="292C9CE8" w14:textId="77777777" w:rsidR="00DD4878" w:rsidRDefault="00DD4878">
      <w:proofErr w:type="gramStart"/>
      <w:r>
        <w:t>practice</w:t>
      </w:r>
      <w:proofErr w:type="gramEnd"/>
      <w:r>
        <w:t xml:space="preserve"> problems:  </w:t>
      </w:r>
      <w:hyperlink r:id="rId11" w:history="1">
        <w:r w:rsidRPr="003C7F51">
          <w:rPr>
            <w:rStyle w:val="Hyperlink"/>
          </w:rPr>
          <w:t>http://www.khanacademy.org/math/algebra/pythagorean-theorem/e</w:t>
        </w:r>
      </w:hyperlink>
    </w:p>
    <w:p w14:paraId="2F8C4939" w14:textId="77777777" w:rsidR="00DD4878" w:rsidRDefault="00DD4878"/>
    <w:p w14:paraId="33E1DA7D" w14:textId="77777777" w:rsidR="00DD4878" w:rsidRDefault="00DD4878"/>
    <w:p w14:paraId="7A87AB86" w14:textId="77777777" w:rsidR="008C06BD" w:rsidRDefault="008C06BD"/>
    <w:p w14:paraId="41CC23C6" w14:textId="77777777" w:rsidR="008C06BD" w:rsidRDefault="008C06BD"/>
    <w:sectPr w:rsidR="008C06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31"/>
    <w:rsid w:val="00060931"/>
    <w:rsid w:val="000D00EC"/>
    <w:rsid w:val="00173543"/>
    <w:rsid w:val="00176B99"/>
    <w:rsid w:val="0029751A"/>
    <w:rsid w:val="00331FAF"/>
    <w:rsid w:val="003779D5"/>
    <w:rsid w:val="00400D88"/>
    <w:rsid w:val="0054796A"/>
    <w:rsid w:val="00587326"/>
    <w:rsid w:val="005B35EE"/>
    <w:rsid w:val="00616E0A"/>
    <w:rsid w:val="0067591B"/>
    <w:rsid w:val="00691B14"/>
    <w:rsid w:val="00703440"/>
    <w:rsid w:val="007F1493"/>
    <w:rsid w:val="0081675E"/>
    <w:rsid w:val="00885305"/>
    <w:rsid w:val="008C06BD"/>
    <w:rsid w:val="00924515"/>
    <w:rsid w:val="009975D8"/>
    <w:rsid w:val="00A310F9"/>
    <w:rsid w:val="00B362A3"/>
    <w:rsid w:val="00BB3548"/>
    <w:rsid w:val="00DD4878"/>
    <w:rsid w:val="00E909E0"/>
    <w:rsid w:val="00F910E7"/>
    <w:rsid w:val="00F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F23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D48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9D5"/>
    <w:rPr>
      <w:color w:val="808080"/>
    </w:rPr>
  </w:style>
  <w:style w:type="paragraph" w:styleId="BalloonText">
    <w:name w:val="Balloon Text"/>
    <w:basedOn w:val="Normal"/>
    <w:link w:val="BalloonTextChar"/>
    <w:rsid w:val="00377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9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9D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4878"/>
    <w:rPr>
      <w:b/>
      <w:bCs/>
      <w:sz w:val="36"/>
      <w:szCs w:val="36"/>
    </w:rPr>
  </w:style>
  <w:style w:type="character" w:customStyle="1" w:styleId="title">
    <w:name w:val="title"/>
    <w:basedOn w:val="DefaultParagraphFont"/>
    <w:rsid w:val="00DD48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D48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9D5"/>
    <w:rPr>
      <w:color w:val="808080"/>
    </w:rPr>
  </w:style>
  <w:style w:type="paragraph" w:styleId="BalloonText">
    <w:name w:val="Balloon Text"/>
    <w:basedOn w:val="Normal"/>
    <w:link w:val="BalloonTextChar"/>
    <w:rsid w:val="00377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9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9D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4878"/>
    <w:rPr>
      <w:b/>
      <w:bCs/>
      <w:sz w:val="36"/>
      <w:szCs w:val="36"/>
    </w:rPr>
  </w:style>
  <w:style w:type="character" w:customStyle="1" w:styleId="title">
    <w:name w:val="title"/>
    <w:basedOn w:val="DefaultParagraphFont"/>
    <w:rsid w:val="00DD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hanacademy.org/math/algebra/pythagorean-theorem/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dk12.org/share/pdf/hsa_math_reference_sheet_v2.pdf" TargetMode="External"/><Relationship Id="rId6" Type="http://schemas.openxmlformats.org/officeDocument/2006/relationships/hyperlink" Target="http://www.khanacademy.org/math/geometry/basic-geometry/v/area-and-perimeter" TargetMode="External"/><Relationship Id="rId7" Type="http://schemas.openxmlformats.org/officeDocument/2006/relationships/hyperlink" Target="http://www.khanacademy.org/math/geometry/polygons-quads-parallelograms/v/area-of-a-parallelogram" TargetMode="External"/><Relationship Id="rId8" Type="http://schemas.openxmlformats.org/officeDocument/2006/relationships/hyperlink" Target="http://www.khanacademy.org/math/geometry/basic-geometry/v/area-of-a-circle" TargetMode="External"/><Relationship Id="rId9" Type="http://schemas.openxmlformats.org/officeDocument/2006/relationships/hyperlink" Target="http://www.khanacademy.org/math/geometry/basic-geometry/v/solid-geometry-volume" TargetMode="External"/><Relationship Id="rId10" Type="http://schemas.openxmlformats.org/officeDocument/2006/relationships/hyperlink" Target="http://www.khanacademy.org/math/algebra/ck12-algebra-1/v/pythagorean-the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466</Words>
  <Characters>2661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</dc:creator>
  <cp:lastModifiedBy>Steve Zollinger</cp:lastModifiedBy>
  <cp:revision>13</cp:revision>
  <dcterms:created xsi:type="dcterms:W3CDTF">2012-12-01T02:52:00Z</dcterms:created>
  <dcterms:modified xsi:type="dcterms:W3CDTF">2012-12-14T00:02:00Z</dcterms:modified>
</cp:coreProperties>
</file>